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45B1" w:rsidRDefault="002C1D2F">
      <w:pPr>
        <w:pStyle w:val="Heading10"/>
        <w:keepNext/>
        <w:keepLines/>
        <w:shd w:val="clear" w:color="auto" w:fill="auto"/>
      </w:pPr>
      <w:bookmarkStart w:id="0" w:name="bookmark0"/>
      <w:r>
        <w:t>OGGETTO: MOZIONE SU PROPOSTA PROGETTO “MEDITERRANEAN LIFE”</w:t>
      </w:r>
      <w:bookmarkEnd w:id="0"/>
    </w:p>
    <w:p w:rsidR="00E93A2F" w:rsidRDefault="002C1D2F">
      <w:pPr>
        <w:pStyle w:val="Heading10"/>
        <w:keepNext/>
        <w:keepLines/>
        <w:shd w:val="clear" w:color="auto" w:fill="auto"/>
        <w:spacing w:after="734"/>
        <w:ind w:left="1440"/>
      </w:pPr>
      <w:bookmarkStart w:id="1" w:name="bookmark1"/>
      <w:r>
        <w:t xml:space="preserve">VERIFICA POSSIBILITÀ’ DI CONCORDARE ACCORDO DI PROGRAMMA </w:t>
      </w:r>
      <w:bookmarkStart w:id="2" w:name="_GoBack"/>
      <w:bookmarkEnd w:id="2"/>
    </w:p>
    <w:p w:rsidR="009245B1" w:rsidRDefault="002C1D2F">
      <w:pPr>
        <w:pStyle w:val="Heading10"/>
        <w:keepNext/>
        <w:keepLines/>
        <w:shd w:val="clear" w:color="auto" w:fill="auto"/>
        <w:spacing w:after="734"/>
        <w:ind w:left="1440"/>
      </w:pPr>
      <w:r>
        <w:t>- ex art. 34 del D.lgs n. 267/2000 e art. 15 della L.R. n. 19/02</w:t>
      </w:r>
      <w:bookmarkEnd w:id="1"/>
    </w:p>
    <w:p w:rsidR="009245B1" w:rsidRDefault="002C1D2F">
      <w:pPr>
        <w:pStyle w:val="Heading10"/>
        <w:keepNext/>
        <w:keepLines/>
        <w:shd w:val="clear" w:color="auto" w:fill="auto"/>
        <w:spacing w:after="428" w:line="220" w:lineRule="exact"/>
        <w:ind w:left="20"/>
        <w:jc w:val="center"/>
      </w:pPr>
      <w:bookmarkStart w:id="3" w:name="bookmark2"/>
      <w:r>
        <w:t>La Commissione</w:t>
      </w:r>
      <w:bookmarkEnd w:id="3"/>
    </w:p>
    <w:p w:rsidR="009245B1" w:rsidRDefault="002C1D2F">
      <w:pPr>
        <w:pStyle w:val="Heading10"/>
        <w:keepNext/>
        <w:keepLines/>
        <w:shd w:val="clear" w:color="auto" w:fill="auto"/>
        <w:spacing w:after="68" w:line="220" w:lineRule="exact"/>
      </w:pPr>
      <w:bookmarkStart w:id="4" w:name="bookmark3"/>
      <w:r>
        <w:t>RICHIAMATI</w:t>
      </w:r>
      <w:bookmarkEnd w:id="4"/>
    </w:p>
    <w:p w:rsidR="009245B1" w:rsidRDefault="002C1D2F">
      <w:pPr>
        <w:pStyle w:val="Bodytext30"/>
        <w:shd w:val="clear" w:color="auto" w:fill="auto"/>
        <w:spacing w:before="0" w:after="273" w:line="220" w:lineRule="exact"/>
      </w:pPr>
      <w:r>
        <w:rPr>
          <w:rStyle w:val="Bodytext3NotItalicSpacing0pt"/>
        </w:rPr>
        <w:t xml:space="preserve">il Decreto legislativo 18 agosto 2000, n. 267 </w:t>
      </w:r>
      <w:r>
        <w:t>“Testo unico delle leggi sull'ordinamento degli enti locali”;</w:t>
      </w:r>
    </w:p>
    <w:p w:rsidR="009245B1" w:rsidRDefault="002C1D2F">
      <w:pPr>
        <w:pStyle w:val="Bodytext30"/>
        <w:shd w:val="clear" w:color="auto" w:fill="auto"/>
        <w:spacing w:before="0" w:after="275" w:line="264" w:lineRule="exact"/>
        <w:jc w:val="left"/>
      </w:pPr>
      <w:r>
        <w:rPr>
          <w:rStyle w:val="Bodytext3NotItalicSpacing0pt"/>
        </w:rPr>
        <w:t xml:space="preserve">la Legge regionale 16 aprile 2002, n. 19 recante </w:t>
      </w:r>
      <w:r>
        <w:t>“Norme per la tutela, governo ed uso del territorio</w:t>
      </w:r>
      <w:r>
        <w:rPr>
          <w:rStyle w:val="Bodytext3NotItalicSpacing0pt"/>
        </w:rPr>
        <w:t xml:space="preserve"> - </w:t>
      </w:r>
      <w:r w:rsidR="00E93A2F">
        <w:t>L</w:t>
      </w:r>
      <w:r>
        <w:t>egge urbanistica della Calabria.</w:t>
      </w:r>
      <w:r>
        <w:rPr>
          <w:rStyle w:val="Bodytext3NotItalicSpacing0pt"/>
        </w:rPr>
        <w:t xml:space="preserve"> ”;</w:t>
      </w:r>
    </w:p>
    <w:p w:rsidR="009245B1" w:rsidRDefault="002C1D2F">
      <w:pPr>
        <w:pStyle w:val="Bodytext20"/>
        <w:shd w:val="clear" w:color="auto" w:fill="auto"/>
        <w:spacing w:before="0" w:after="608" w:line="220" w:lineRule="exact"/>
      </w:pPr>
      <w:r>
        <w:t>il Piano Strutturale Comunale adottato con Deliberazi</w:t>
      </w:r>
      <w:r>
        <w:t>one del Consiglio Comunale n. 1 del 10.01.2019;</w:t>
      </w:r>
    </w:p>
    <w:p w:rsidR="009245B1" w:rsidRDefault="002C1D2F">
      <w:pPr>
        <w:pStyle w:val="Heading10"/>
        <w:keepNext/>
        <w:keepLines/>
        <w:shd w:val="clear" w:color="auto" w:fill="auto"/>
        <w:spacing w:line="220" w:lineRule="exact"/>
      </w:pPr>
      <w:bookmarkStart w:id="5" w:name="bookmark4"/>
      <w:r>
        <w:t>CONSIDERATO</w:t>
      </w:r>
      <w:bookmarkEnd w:id="5"/>
    </w:p>
    <w:p w:rsidR="009245B1" w:rsidRDefault="002C1D2F">
      <w:pPr>
        <w:pStyle w:val="Bodytext20"/>
        <w:shd w:val="clear" w:color="auto" w:fill="auto"/>
        <w:spacing w:before="0" w:after="240" w:line="307" w:lineRule="exact"/>
      </w:pPr>
      <w:r>
        <w:t>quanto espresso dai soggetti intervenuti nelle diverse sedute di commissione, giusti verbali richiamati quali parte integrante e sostanziale della presente;</w:t>
      </w:r>
    </w:p>
    <w:p w:rsidR="009245B1" w:rsidRDefault="002C1D2F">
      <w:pPr>
        <w:pStyle w:val="Bodytext20"/>
        <w:shd w:val="clear" w:color="auto" w:fill="auto"/>
        <w:spacing w:before="0" w:after="310" w:line="307" w:lineRule="exact"/>
      </w:pPr>
      <w:r>
        <w:t xml:space="preserve">in particolare, gli esiti della </w:t>
      </w:r>
      <w:r>
        <w:t>conferenza dei servizi preliminare convocata dal Suap sul progetto di fattibilità tecnica, finalizzata, ex art. 14 c. 3 della L. n. 241/90, ad indicare al richiedente, prima della presentazione di un’istanza o di un progetto definitivo, le condizioni per o</w:t>
      </w:r>
      <w:r>
        <w:t>ttenere alla loro presentazione i necessari pareri, intese, nulla osta, autorizzazioni o altri atti di assenso comunque denominati;</w:t>
      </w:r>
    </w:p>
    <w:p w:rsidR="009245B1" w:rsidRDefault="002C1D2F">
      <w:pPr>
        <w:pStyle w:val="Bodytext20"/>
        <w:shd w:val="clear" w:color="auto" w:fill="auto"/>
        <w:spacing w:before="0" w:after="224" w:line="220" w:lineRule="exact"/>
      </w:pPr>
      <w:r>
        <w:t>che sull’area in questione insistono numerosi vincoli urbanistici e paesaggistici;</w:t>
      </w:r>
    </w:p>
    <w:p w:rsidR="009245B1" w:rsidRDefault="002C1D2F">
      <w:pPr>
        <w:pStyle w:val="Bodytext20"/>
        <w:shd w:val="clear" w:color="auto" w:fill="auto"/>
        <w:spacing w:before="0" w:after="244" w:line="312" w:lineRule="exact"/>
      </w:pPr>
      <w:r>
        <w:t>che il progetto proposto, inerente la rea</w:t>
      </w:r>
      <w:r>
        <w:t>lizzazione di edifici ed attrezzature destinate alla nautica da diporto, edifici commerciali, edifici turistico-residenziali, edifici per attività sportive etc, non è coerente con le previsioni dello strumento urbanistico comunale vigente;</w:t>
      </w:r>
    </w:p>
    <w:p w:rsidR="009245B1" w:rsidRDefault="002C1D2F">
      <w:pPr>
        <w:pStyle w:val="Bodytext20"/>
        <w:shd w:val="clear" w:color="auto" w:fill="auto"/>
        <w:spacing w:before="0" w:after="240" w:line="307" w:lineRule="exact"/>
      </w:pPr>
      <w:r>
        <w:t>che fino all’app</w:t>
      </w:r>
      <w:r>
        <w:t>rovazione definitiva del PSC, ai sensi dell’art. 65 della predetta normativa regionale, non sono ammesse varianti urbanistiche al di fuori di quelle previste dal medesimo articolo;</w:t>
      </w:r>
    </w:p>
    <w:p w:rsidR="009245B1" w:rsidRDefault="002C1D2F">
      <w:pPr>
        <w:pStyle w:val="Heading10"/>
        <w:keepNext/>
        <w:keepLines/>
        <w:shd w:val="clear" w:color="auto" w:fill="auto"/>
        <w:spacing w:line="307" w:lineRule="exact"/>
      </w:pPr>
      <w:bookmarkStart w:id="6" w:name="bookmark5"/>
      <w:r>
        <w:t>VISTA</w:t>
      </w:r>
      <w:bookmarkEnd w:id="6"/>
    </w:p>
    <w:p w:rsidR="009245B1" w:rsidRDefault="002C1D2F">
      <w:pPr>
        <w:pStyle w:val="Bodytext20"/>
        <w:shd w:val="clear" w:color="auto" w:fill="auto"/>
        <w:spacing w:before="0" w:after="0" w:line="307" w:lineRule="exact"/>
      </w:pPr>
      <w:r>
        <w:t>La volontà dell’Amministrazione comunale di rilanciare lo sviluppo tu</w:t>
      </w:r>
      <w:r>
        <w:t>ristico della Città di Reggio Calabria attraverso, inoltre, la previsione nel nuovo strumento di pianificazione, di progetti di notevole rilevanza strategica rispondenti all’interesse pubblico generale;</w:t>
      </w:r>
    </w:p>
    <w:p w:rsidR="009245B1" w:rsidRDefault="002C1D2F">
      <w:pPr>
        <w:pStyle w:val="Bodytext20"/>
        <w:shd w:val="clear" w:color="auto" w:fill="auto"/>
        <w:spacing w:before="0" w:after="271" w:line="307" w:lineRule="exact"/>
      </w:pPr>
      <w:r>
        <w:t>La possibilità fornita dal Recovery Fund di utilizzar</w:t>
      </w:r>
      <w:r>
        <w:t>ne le risorse per progetti di rilevanza strategica c dal potenziale forte impatto occupazionale;</w:t>
      </w:r>
    </w:p>
    <w:p w:rsidR="009245B1" w:rsidRDefault="002C1D2F">
      <w:pPr>
        <w:pStyle w:val="Heading10"/>
        <w:keepNext/>
        <w:keepLines/>
        <w:shd w:val="clear" w:color="auto" w:fill="auto"/>
        <w:spacing w:line="269" w:lineRule="exact"/>
      </w:pPr>
      <w:bookmarkStart w:id="7" w:name="bookmark6"/>
      <w:r>
        <w:t>RILEVATO che</w:t>
      </w:r>
      <w:bookmarkEnd w:id="7"/>
    </w:p>
    <w:p w:rsidR="009245B1" w:rsidRDefault="002C1D2F">
      <w:pPr>
        <w:pStyle w:val="Bodytext30"/>
        <w:shd w:val="clear" w:color="auto" w:fill="auto"/>
        <w:spacing w:before="0" w:after="0" w:line="269" w:lineRule="exact"/>
      </w:pPr>
      <w:r>
        <w:rPr>
          <w:rStyle w:val="Bodytext3NotItalicSpacing0pt"/>
        </w:rPr>
        <w:t>ai sensi dell’art 34, comma 1 del D.Lgs n. 267/2000 “</w:t>
      </w:r>
      <w:r>
        <w:t>Per la definizione e l'attuazione di opere, di interventi o di programmi di intervento che ri</w:t>
      </w:r>
      <w:r>
        <w:t>chiedono, per la loro completa real</w:t>
      </w:r>
      <w:r w:rsidR="00E93A2F">
        <w:t>izzazi</w:t>
      </w:r>
      <w:r>
        <w:t>one, l’azione integrata e coordinata di comuni, di province e regioni, di amministrazioni statali e di altri soggetti pubblici, o comunque di due o più tra i soggetti predetti, il presidente della regione o il pres</w:t>
      </w:r>
      <w:r>
        <w:t>idente della provincia o il sindaco, in relazione alla competenza primaria o prevalente sull'opera o sugli interventi o sui programmi di internato, promuove la conclusione di un accordo di programma, anche su</w:t>
      </w:r>
    </w:p>
    <w:p w:rsidR="00E93A2F" w:rsidRDefault="00E93A2F">
      <w:pPr>
        <w:pStyle w:val="Bodytext30"/>
        <w:shd w:val="clear" w:color="auto" w:fill="auto"/>
        <w:spacing w:before="0" w:after="0" w:line="269" w:lineRule="exact"/>
      </w:pPr>
    </w:p>
    <w:p w:rsidR="00E93A2F" w:rsidRDefault="00E93A2F">
      <w:pPr>
        <w:pStyle w:val="Bodytext30"/>
        <w:shd w:val="clear" w:color="auto" w:fill="auto"/>
        <w:spacing w:before="0" w:after="0" w:line="269" w:lineRule="exact"/>
      </w:pPr>
    </w:p>
    <w:p w:rsidR="00E93A2F" w:rsidRDefault="00E93A2F">
      <w:pPr>
        <w:pStyle w:val="Bodytext30"/>
        <w:shd w:val="clear" w:color="auto" w:fill="auto"/>
        <w:spacing w:before="0" w:after="0" w:line="269" w:lineRule="exact"/>
      </w:pPr>
    </w:p>
    <w:p w:rsidR="00E93A2F" w:rsidRDefault="00E93A2F">
      <w:pPr>
        <w:pStyle w:val="Bodytext30"/>
        <w:shd w:val="clear" w:color="auto" w:fill="auto"/>
        <w:spacing w:before="0" w:after="0" w:line="269" w:lineRule="exact"/>
      </w:pPr>
    </w:p>
    <w:p w:rsidR="00E93A2F" w:rsidRDefault="00E93A2F">
      <w:pPr>
        <w:pStyle w:val="Bodytext30"/>
        <w:shd w:val="clear" w:color="auto" w:fill="auto"/>
        <w:spacing w:before="0" w:after="0" w:line="269" w:lineRule="exact"/>
      </w:pPr>
    </w:p>
    <w:p w:rsidR="00E93A2F" w:rsidRDefault="00E93A2F">
      <w:pPr>
        <w:pStyle w:val="Bodytext30"/>
        <w:shd w:val="clear" w:color="auto" w:fill="auto"/>
        <w:spacing w:before="0" w:after="0" w:line="269" w:lineRule="exact"/>
      </w:pPr>
    </w:p>
    <w:p w:rsidR="00E93A2F" w:rsidRDefault="00E93A2F" w:rsidP="00E93A2F">
      <w:pPr>
        <w:pStyle w:val="Bodytext30"/>
        <w:shd w:val="clear" w:color="auto" w:fill="auto"/>
        <w:spacing w:after="443"/>
        <w:rPr>
          <w:color w:val="auto"/>
        </w:rPr>
      </w:pPr>
      <w:r>
        <w:t xml:space="preserve">richiesta di uno o più dei soggetti interessati, per assicurare il coordinamento delle </w:t>
      </w:r>
      <w:r>
        <w:t>az</w:t>
      </w:r>
      <w:r>
        <w:t>ioni e per determinarne i tempi, le modalità, il finanziamento ed ogni altro connesso adempimento.</w:t>
      </w:r>
    </w:p>
    <w:p w:rsidR="00E93A2F" w:rsidRDefault="00E93A2F" w:rsidP="00E93A2F">
      <w:pPr>
        <w:pStyle w:val="Heading10"/>
        <w:keepNext/>
        <w:keepLines/>
        <w:shd w:val="clear" w:color="auto" w:fill="auto"/>
        <w:spacing w:after="163" w:line="240" w:lineRule="exact"/>
      </w:pPr>
      <w:r>
        <w:t>Alla luce di quanto sopra,</w:t>
      </w:r>
    </w:p>
    <w:p w:rsidR="00E93A2F" w:rsidRDefault="00E93A2F" w:rsidP="00E93A2F">
      <w:pPr>
        <w:pStyle w:val="Heading10"/>
        <w:keepNext/>
        <w:keepLines/>
        <w:shd w:val="clear" w:color="auto" w:fill="auto"/>
        <w:spacing w:after="510" w:line="240" w:lineRule="exact"/>
        <w:jc w:val="center"/>
      </w:pPr>
      <w:r>
        <w:t>Impegna il Sindaco</w:t>
      </w:r>
    </w:p>
    <w:p w:rsidR="00E93A2F" w:rsidRDefault="00E93A2F" w:rsidP="00E93A2F">
      <w:pPr>
        <w:pStyle w:val="Bodytext20"/>
        <w:shd w:val="clear" w:color="auto" w:fill="auto"/>
        <w:spacing w:before="0"/>
      </w:pPr>
      <w:r>
        <w:t>In via preliminare, ai sensi del comma 3 dell’art. 34 del D.Lgs n. 67/2000, a convocare una conferenza tra i rappresentanti di tutte le amministrazioni interessate, per verificare la possibilità di addivenire all'accordo di programma ed ai successivi adempimenti ai fini della definizione dell’istanza e di verificare possibilità di inserire l’iniziativa nel programma da presentare al Governo nell’ambito del PNRR o all’interno di altri finanziamenti analoghi quale contributo per la parte di competenza pubblica;</w:t>
      </w:r>
    </w:p>
    <w:p w:rsidR="00E93A2F" w:rsidRDefault="00E93A2F" w:rsidP="00E93A2F">
      <w:pPr>
        <w:pStyle w:val="Bodytext20"/>
        <w:shd w:val="clear" w:color="auto" w:fill="auto"/>
        <w:spacing w:before="0" w:after="0"/>
      </w:pPr>
      <w:r>
        <w:t>In secondo luogo, a dichiarare il Progetto “Mediterranean Life” quale progetto di rilevanza strategica per lo sviluppo della città metropolitana di Reggio Calabria e, in considerazione del notevole impatto occupazionale nel settore del turismo e della nautica, dichiararlo altresì progetto di rilevanza pubblica a seguito del positivo esito della procedura inerente l’accordo di programma.</w:t>
      </w:r>
    </w:p>
    <w:p w:rsidR="00E93A2F" w:rsidRDefault="00E93A2F">
      <w:pPr>
        <w:pStyle w:val="Bodytext30"/>
        <w:shd w:val="clear" w:color="auto" w:fill="auto"/>
        <w:spacing w:before="0" w:after="0" w:line="269" w:lineRule="exact"/>
      </w:pPr>
    </w:p>
    <w:sectPr w:rsidR="00E93A2F">
      <w:pgSz w:w="11900" w:h="16840"/>
      <w:pgMar w:top="965" w:right="1098" w:bottom="965" w:left="10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1D2F" w:rsidRDefault="002C1D2F">
      <w:r>
        <w:separator/>
      </w:r>
    </w:p>
  </w:endnote>
  <w:endnote w:type="continuationSeparator" w:id="0">
    <w:p w:rsidR="002C1D2F" w:rsidRDefault="002C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D2F" w:rsidRDefault="002C1D2F"/>
  </w:footnote>
  <w:footnote w:type="continuationSeparator" w:id="0">
    <w:p w:rsidR="002C1D2F" w:rsidRDefault="002C1D2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B1"/>
    <w:rsid w:val="002C1D2F"/>
    <w:rsid w:val="009245B1"/>
    <w:rsid w:val="009F7A74"/>
    <w:rsid w:val="00E9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35899"/>
  <w15:docId w15:val="{D9371490-899A-4129-97E1-A41979F3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66CC"/>
      <w:u w:val="single"/>
    </w:rPr>
  </w:style>
  <w:style w:type="character" w:customStyle="1" w:styleId="Heading1">
    <w:name w:val="Heading #1_"/>
    <w:basedOn w:val="Carpredefinitoparagrafo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Carpredefinitoparagrafo"/>
    <w:link w:val="Bodytext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Bodytext3NotItalicSpacing0pt">
    <w:name w:val="Body text (3) + Not Italic;Spacing 0 pt"/>
    <w:basedOn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Bodytext2">
    <w:name w:val="Body text (2)_"/>
    <w:basedOn w:val="Carpredefinitoparagrafo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Heading10">
    <w:name w:val="Heading #1"/>
    <w:basedOn w:val="Normale"/>
    <w:link w:val="Heading1"/>
    <w:pPr>
      <w:shd w:val="clear" w:color="auto" w:fill="FFFFFF"/>
      <w:spacing w:line="312" w:lineRule="exact"/>
      <w:jc w:val="both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30">
    <w:name w:val="Body text (3)"/>
    <w:basedOn w:val="Normale"/>
    <w:link w:val="Bodytext3"/>
    <w:pPr>
      <w:shd w:val="clear" w:color="auto" w:fill="FFFFFF"/>
      <w:spacing w:before="120" w:after="360"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22"/>
      <w:szCs w:val="22"/>
    </w:rPr>
  </w:style>
  <w:style w:type="paragraph" w:customStyle="1" w:styleId="Bodytext20">
    <w:name w:val="Body text (2)"/>
    <w:basedOn w:val="Normale"/>
    <w:link w:val="Bodytext2"/>
    <w:pPr>
      <w:shd w:val="clear" w:color="auto" w:fill="FFFFFF"/>
      <w:spacing w:before="240" w:after="66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7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Salvatore</dc:creator>
  <cp:lastModifiedBy>Salvatore</cp:lastModifiedBy>
  <cp:revision>2</cp:revision>
  <dcterms:created xsi:type="dcterms:W3CDTF">2021-11-13T20:14:00Z</dcterms:created>
  <dcterms:modified xsi:type="dcterms:W3CDTF">2021-11-13T20:14:00Z</dcterms:modified>
</cp:coreProperties>
</file>